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03A" w:rsidRDefault="0074453C">
      <w:r>
        <w:rPr>
          <w:noProof/>
          <w:lang w:eastAsia="hr-HR"/>
        </w:rPr>
        <w:drawing>
          <wp:inline distT="0" distB="0" distL="0" distR="0" wp14:anchorId="2F6D6D26">
            <wp:extent cx="1000125" cy="117030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170305"/>
                    </a:xfrm>
                    <a:prstGeom prst="rect">
                      <a:avLst/>
                    </a:prstGeom>
                    <a:noFill/>
                  </pic:spPr>
                </pic:pic>
              </a:graphicData>
            </a:graphic>
          </wp:inline>
        </w:drawing>
      </w:r>
      <w:r>
        <w:t xml:space="preserve">                                      </w:t>
      </w:r>
      <w:r>
        <w:rPr>
          <w:noProof/>
          <w:lang w:eastAsia="hr-HR"/>
        </w:rPr>
        <w:drawing>
          <wp:inline distT="0" distB="0" distL="0" distR="0" wp14:anchorId="7B773B21">
            <wp:extent cx="3499485" cy="817245"/>
            <wp:effectExtent l="0" t="0" r="5715"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9485" cy="817245"/>
                    </a:xfrm>
                    <a:prstGeom prst="rect">
                      <a:avLst/>
                    </a:prstGeom>
                    <a:noFill/>
                  </pic:spPr>
                </pic:pic>
              </a:graphicData>
            </a:graphic>
          </wp:inline>
        </w:drawing>
      </w:r>
    </w:p>
    <w:p w:rsidR="0074453C" w:rsidRDefault="0074453C"/>
    <w:p w:rsidR="0074453C" w:rsidRPr="00B1778F" w:rsidRDefault="0074453C" w:rsidP="00425108">
      <w:pPr>
        <w:jc w:val="both"/>
        <w:rPr>
          <w:sz w:val="28"/>
          <w:szCs w:val="28"/>
        </w:rPr>
      </w:pPr>
    </w:p>
    <w:p w:rsidR="0074453C" w:rsidRPr="00B1778F" w:rsidRDefault="0074453C" w:rsidP="00425108">
      <w:pPr>
        <w:jc w:val="both"/>
        <w:rPr>
          <w:sz w:val="28"/>
          <w:szCs w:val="28"/>
        </w:rPr>
      </w:pPr>
      <w:r w:rsidRPr="00B1778F">
        <w:rPr>
          <w:b/>
          <w:sz w:val="28"/>
          <w:szCs w:val="28"/>
        </w:rPr>
        <w:t>Naziv projekta:</w:t>
      </w:r>
      <w:r w:rsidRPr="00B1778F">
        <w:rPr>
          <w:sz w:val="28"/>
          <w:szCs w:val="28"/>
        </w:rPr>
        <w:t xml:space="preserve">  Izgradnja </w:t>
      </w:r>
      <w:r w:rsidR="00EB2614" w:rsidRPr="00B1778F">
        <w:rPr>
          <w:sz w:val="28"/>
          <w:szCs w:val="28"/>
        </w:rPr>
        <w:t>Memorijalnog centra dr. Andrije Štampara I. faza</w:t>
      </w:r>
    </w:p>
    <w:p w:rsidR="0074453C" w:rsidRPr="00B1778F" w:rsidRDefault="0074453C" w:rsidP="00425108">
      <w:pPr>
        <w:jc w:val="both"/>
        <w:rPr>
          <w:sz w:val="28"/>
          <w:szCs w:val="28"/>
        </w:rPr>
      </w:pPr>
      <w:r w:rsidRPr="00B1778F">
        <w:rPr>
          <w:b/>
          <w:sz w:val="28"/>
          <w:szCs w:val="28"/>
        </w:rPr>
        <w:t>Nositelj projekta</w:t>
      </w:r>
      <w:r w:rsidRPr="00B1778F">
        <w:rPr>
          <w:sz w:val="28"/>
          <w:szCs w:val="28"/>
        </w:rPr>
        <w:t>: Grad Pleternica</w:t>
      </w:r>
    </w:p>
    <w:p w:rsidR="0074453C" w:rsidRPr="00B1778F" w:rsidRDefault="0074453C" w:rsidP="00425108">
      <w:pPr>
        <w:jc w:val="both"/>
        <w:rPr>
          <w:sz w:val="28"/>
          <w:szCs w:val="28"/>
        </w:rPr>
      </w:pPr>
      <w:r w:rsidRPr="00B1778F">
        <w:rPr>
          <w:b/>
          <w:sz w:val="28"/>
          <w:szCs w:val="28"/>
        </w:rPr>
        <w:t>Razdoblje provedbe projekta</w:t>
      </w:r>
      <w:r w:rsidRPr="00B1778F">
        <w:rPr>
          <w:sz w:val="28"/>
          <w:szCs w:val="28"/>
        </w:rPr>
        <w:t>:</w:t>
      </w:r>
      <w:r w:rsidR="00E27B98" w:rsidRPr="00B1778F">
        <w:rPr>
          <w:sz w:val="28"/>
          <w:szCs w:val="28"/>
        </w:rPr>
        <w:t xml:space="preserve"> </w:t>
      </w:r>
      <w:r w:rsidR="003A4A7B" w:rsidRPr="00B1778F">
        <w:rPr>
          <w:sz w:val="28"/>
          <w:szCs w:val="28"/>
        </w:rPr>
        <w:t>16.07.2025.-31.12.2027.</w:t>
      </w:r>
    </w:p>
    <w:p w:rsidR="0074453C" w:rsidRPr="00B1778F" w:rsidRDefault="0074453C" w:rsidP="00425108">
      <w:pPr>
        <w:jc w:val="both"/>
        <w:rPr>
          <w:sz w:val="28"/>
          <w:szCs w:val="28"/>
        </w:rPr>
      </w:pPr>
      <w:r w:rsidRPr="00B1778F">
        <w:rPr>
          <w:b/>
          <w:sz w:val="28"/>
          <w:szCs w:val="28"/>
        </w:rPr>
        <w:t>Ukupna vrijednost projekta</w:t>
      </w:r>
      <w:r w:rsidRPr="00B1778F">
        <w:rPr>
          <w:sz w:val="28"/>
          <w:szCs w:val="28"/>
        </w:rPr>
        <w:t xml:space="preserve">: </w:t>
      </w:r>
      <w:r w:rsidR="003A4A7B" w:rsidRPr="00B1778F">
        <w:rPr>
          <w:sz w:val="28"/>
          <w:szCs w:val="28"/>
        </w:rPr>
        <w:t>2.557.966,51 EUR</w:t>
      </w:r>
    </w:p>
    <w:p w:rsidR="002E2C87" w:rsidRDefault="0074453C" w:rsidP="00425108">
      <w:pPr>
        <w:jc w:val="both"/>
        <w:rPr>
          <w:b/>
          <w:sz w:val="28"/>
          <w:szCs w:val="28"/>
        </w:rPr>
      </w:pPr>
      <w:r w:rsidRPr="00B1778F">
        <w:rPr>
          <w:b/>
          <w:sz w:val="28"/>
          <w:szCs w:val="28"/>
        </w:rPr>
        <w:t>Poveznica sa relevantne internetske stranice:</w:t>
      </w:r>
      <w:r w:rsidR="000C092F" w:rsidRPr="00B1778F">
        <w:rPr>
          <w:b/>
          <w:sz w:val="28"/>
          <w:szCs w:val="28"/>
        </w:rPr>
        <w:t xml:space="preserve"> </w:t>
      </w:r>
      <w:hyperlink r:id="rId7" w:history="1">
        <w:r w:rsidR="0083380F" w:rsidRPr="0068023E">
          <w:rPr>
            <w:rStyle w:val="Hiperveza"/>
            <w:b/>
            <w:sz w:val="28"/>
            <w:szCs w:val="28"/>
          </w:rPr>
          <w:t>https://razvoj.gov.hr/o-ministarstvu/djelokrug-1939/nacionalni-programi-417/program-podrske-gospodarskoj-revitalizaciji-slavonije-baranje-i-srijema-2025/5786?big=0</w:t>
        </w:r>
      </w:hyperlink>
    </w:p>
    <w:p w:rsidR="00EB7538" w:rsidRPr="00B1778F" w:rsidRDefault="00EB7538" w:rsidP="0074453C">
      <w:pPr>
        <w:rPr>
          <w:b/>
          <w:sz w:val="28"/>
          <w:szCs w:val="28"/>
        </w:rPr>
      </w:pPr>
    </w:p>
    <w:p w:rsidR="00B1778F" w:rsidRPr="005F23C7" w:rsidRDefault="000C092F" w:rsidP="00E70437">
      <w:pPr>
        <w:jc w:val="both"/>
        <w:rPr>
          <w:sz w:val="24"/>
          <w:szCs w:val="24"/>
        </w:rPr>
      </w:pPr>
      <w:r w:rsidRPr="005F23C7">
        <w:rPr>
          <w:b/>
          <w:sz w:val="24"/>
          <w:szCs w:val="24"/>
        </w:rPr>
        <w:t xml:space="preserve">SAŽETAK POJEKTA: </w:t>
      </w:r>
      <w:r w:rsidR="00D333D2" w:rsidRPr="005F23C7">
        <w:rPr>
          <w:sz w:val="24"/>
          <w:szCs w:val="24"/>
        </w:rPr>
        <w:t xml:space="preserve">Projekt Izgradnja Memorijalnog centra dr. Andrije Štampara I. faza </w:t>
      </w:r>
      <w:r w:rsidR="00AF12C9" w:rsidRPr="005F23C7">
        <w:rPr>
          <w:sz w:val="24"/>
          <w:szCs w:val="24"/>
        </w:rPr>
        <w:t xml:space="preserve">sufinancira Ministarstvo regionalnog razvoja i fondova Europske unije </w:t>
      </w:r>
      <w:r w:rsidR="00B36A3A" w:rsidRPr="005F23C7">
        <w:rPr>
          <w:sz w:val="24"/>
          <w:szCs w:val="24"/>
        </w:rPr>
        <w:t>u iznosu od 540.000,</w:t>
      </w:r>
      <w:r w:rsidR="00E300FB" w:rsidRPr="005F23C7">
        <w:rPr>
          <w:sz w:val="24"/>
          <w:szCs w:val="24"/>
        </w:rPr>
        <w:t>00 EUR</w:t>
      </w:r>
      <w:r w:rsidR="00995839">
        <w:rPr>
          <w:sz w:val="24"/>
          <w:szCs w:val="24"/>
        </w:rPr>
        <w:t>. Projekt</w:t>
      </w:r>
      <w:r w:rsidR="00E300FB" w:rsidRPr="005F23C7">
        <w:rPr>
          <w:sz w:val="24"/>
          <w:szCs w:val="24"/>
        </w:rPr>
        <w:t xml:space="preserve"> je sufinanciran kroz Program podrške gospodarskoj revitalizaciji Slavonije, Baranje  Srijema</w:t>
      </w:r>
      <w:r w:rsidR="000D1E96" w:rsidRPr="005F23C7">
        <w:rPr>
          <w:sz w:val="24"/>
          <w:szCs w:val="24"/>
        </w:rPr>
        <w:t xml:space="preserve"> 2025.</w:t>
      </w:r>
      <w:r w:rsidR="001708F7" w:rsidRPr="005F23C7">
        <w:rPr>
          <w:sz w:val="24"/>
          <w:szCs w:val="24"/>
        </w:rPr>
        <w:t xml:space="preserve"> </w:t>
      </w:r>
    </w:p>
    <w:p w:rsidR="00F049AA" w:rsidRDefault="001708F7" w:rsidP="00E70437">
      <w:pPr>
        <w:jc w:val="both"/>
        <w:rPr>
          <w:sz w:val="24"/>
          <w:szCs w:val="24"/>
        </w:rPr>
      </w:pPr>
      <w:r w:rsidRPr="005F23C7">
        <w:rPr>
          <w:sz w:val="24"/>
          <w:szCs w:val="24"/>
        </w:rPr>
        <w:t>Izgra</w:t>
      </w:r>
      <w:r w:rsidR="00D16379" w:rsidRPr="005F23C7">
        <w:rPr>
          <w:sz w:val="24"/>
          <w:szCs w:val="24"/>
        </w:rPr>
        <w:t>dnjom Memorijalnog centra dr. Andrije Štampara</w:t>
      </w:r>
      <w:r w:rsidR="003653F8" w:rsidRPr="005F23C7">
        <w:rPr>
          <w:sz w:val="24"/>
          <w:szCs w:val="24"/>
        </w:rPr>
        <w:t xml:space="preserve"> </w:t>
      </w:r>
      <w:r w:rsidR="00BE504F">
        <w:rPr>
          <w:sz w:val="24"/>
          <w:szCs w:val="24"/>
        </w:rPr>
        <w:t>ojačati će se turistička ponuda ovog dijela Slavonije odnosno Grada Pleternice pri čemu će pozitivno utjecati na razvoj gospodarskih aktivnosti kao preduvjet za razvoj novih poduzetničkih infrastruktura te time poboljšati kvalitetu života građana u smislu povećanja zaposlenosti, turističkog razvoja, promocije vlastitih proizvoda, a ponajviše promociju rada dr. Andrije Štampara koji je važna povijesna ličnost u javnom zdravstvu.</w:t>
      </w:r>
      <w:r w:rsidR="00F705C2" w:rsidRPr="005F23C7">
        <w:rPr>
          <w:sz w:val="24"/>
          <w:szCs w:val="24"/>
        </w:rPr>
        <w:t xml:space="preserve"> </w:t>
      </w:r>
      <w:r w:rsidR="00D559AC">
        <w:rPr>
          <w:sz w:val="24"/>
          <w:szCs w:val="24"/>
        </w:rPr>
        <w:t xml:space="preserve">Glavne aktivnosti 1. faze projekta su izgradnja zgrade javne namjene odnosno Memorijalnog centra dr. Andrije Štampara u njegovom rodnom mjestu čime će se doprinijeti razvoju turističkog sektora kao i povećanju zaposlenosti. </w:t>
      </w:r>
      <w:r w:rsidR="00F049AA" w:rsidRPr="005F23C7">
        <w:rPr>
          <w:sz w:val="24"/>
          <w:szCs w:val="24"/>
        </w:rPr>
        <w:t xml:space="preserve">Projekt će pridonijeti </w:t>
      </w:r>
      <w:r w:rsidR="00DA25F9" w:rsidRPr="005F23C7">
        <w:rPr>
          <w:sz w:val="24"/>
          <w:szCs w:val="24"/>
        </w:rPr>
        <w:t xml:space="preserve">i jačanju turističke ponude na području Grada Pleternice kroz izgradnju Memorijalnog centra čime će se dati </w:t>
      </w:r>
      <w:r w:rsidR="0093112A" w:rsidRPr="005F23C7">
        <w:rPr>
          <w:sz w:val="24"/>
          <w:szCs w:val="24"/>
        </w:rPr>
        <w:t>dodatna vrijednost u razvoju revitalizacije Slavonije, gospodarskog razvoja, povećanja atraktivnosti prostora</w:t>
      </w:r>
      <w:r w:rsidR="0048033E" w:rsidRPr="005F23C7">
        <w:rPr>
          <w:sz w:val="24"/>
          <w:szCs w:val="24"/>
        </w:rPr>
        <w:t xml:space="preserve">, poboljšanje kvalitete života na ovim prostorima i sprečavanje daljnjeg iseljavanja. </w:t>
      </w:r>
    </w:p>
    <w:p w:rsidR="006E09CC" w:rsidRDefault="006E09CC" w:rsidP="00E70437">
      <w:pPr>
        <w:jc w:val="both"/>
        <w:rPr>
          <w:sz w:val="24"/>
          <w:szCs w:val="24"/>
        </w:rPr>
      </w:pPr>
      <w:r>
        <w:rPr>
          <w:sz w:val="24"/>
          <w:szCs w:val="24"/>
        </w:rPr>
        <w:t>Ciljevi projekta:</w:t>
      </w:r>
    </w:p>
    <w:p w:rsidR="006E09CC" w:rsidRDefault="006E09CC" w:rsidP="006E09CC">
      <w:pPr>
        <w:pStyle w:val="Odlomakpopisa"/>
        <w:numPr>
          <w:ilvl w:val="0"/>
          <w:numId w:val="1"/>
        </w:numPr>
        <w:jc w:val="both"/>
        <w:rPr>
          <w:sz w:val="24"/>
          <w:szCs w:val="24"/>
        </w:rPr>
      </w:pPr>
      <w:r>
        <w:rPr>
          <w:sz w:val="24"/>
          <w:szCs w:val="24"/>
        </w:rPr>
        <w:t>Revitalizacija Slavonije</w:t>
      </w:r>
    </w:p>
    <w:p w:rsidR="006E09CC" w:rsidRDefault="006E09CC" w:rsidP="006E09CC">
      <w:pPr>
        <w:pStyle w:val="Odlomakpopisa"/>
        <w:numPr>
          <w:ilvl w:val="0"/>
          <w:numId w:val="1"/>
        </w:numPr>
        <w:jc w:val="both"/>
        <w:rPr>
          <w:sz w:val="24"/>
          <w:szCs w:val="24"/>
        </w:rPr>
      </w:pPr>
      <w:r>
        <w:rPr>
          <w:sz w:val="24"/>
          <w:szCs w:val="24"/>
        </w:rPr>
        <w:t>Izgraditi zgradu javne namjene</w:t>
      </w:r>
    </w:p>
    <w:p w:rsidR="006E09CC" w:rsidRDefault="006E09CC" w:rsidP="006E09CC">
      <w:pPr>
        <w:pStyle w:val="Odlomakpopisa"/>
        <w:numPr>
          <w:ilvl w:val="0"/>
          <w:numId w:val="1"/>
        </w:numPr>
        <w:jc w:val="both"/>
        <w:rPr>
          <w:sz w:val="24"/>
          <w:szCs w:val="24"/>
        </w:rPr>
      </w:pPr>
      <w:r>
        <w:rPr>
          <w:sz w:val="24"/>
          <w:szCs w:val="24"/>
        </w:rPr>
        <w:t>Poboljšati kvalitetu života</w:t>
      </w:r>
    </w:p>
    <w:p w:rsidR="006E09CC" w:rsidRDefault="006E09CC" w:rsidP="006E09CC">
      <w:pPr>
        <w:pStyle w:val="Odlomakpopisa"/>
        <w:numPr>
          <w:ilvl w:val="0"/>
          <w:numId w:val="1"/>
        </w:numPr>
        <w:jc w:val="both"/>
        <w:rPr>
          <w:sz w:val="24"/>
          <w:szCs w:val="24"/>
        </w:rPr>
      </w:pPr>
      <w:r>
        <w:rPr>
          <w:sz w:val="24"/>
          <w:szCs w:val="24"/>
        </w:rPr>
        <w:lastRenderedPageBreak/>
        <w:t>Spriječiti iseljavanje</w:t>
      </w:r>
    </w:p>
    <w:p w:rsidR="006E09CC" w:rsidRDefault="007F1B17" w:rsidP="006E09CC">
      <w:pPr>
        <w:pStyle w:val="Odlomakpopisa"/>
        <w:numPr>
          <w:ilvl w:val="0"/>
          <w:numId w:val="1"/>
        </w:numPr>
        <w:jc w:val="both"/>
        <w:rPr>
          <w:sz w:val="24"/>
          <w:szCs w:val="24"/>
        </w:rPr>
      </w:pPr>
      <w:r>
        <w:rPr>
          <w:sz w:val="24"/>
          <w:szCs w:val="24"/>
        </w:rPr>
        <w:t>Povećati atraktivnost prostora</w:t>
      </w:r>
    </w:p>
    <w:p w:rsidR="007F1B17" w:rsidRDefault="007F1B17" w:rsidP="006E09CC">
      <w:pPr>
        <w:pStyle w:val="Odlomakpopisa"/>
        <w:numPr>
          <w:ilvl w:val="0"/>
          <w:numId w:val="1"/>
        </w:numPr>
        <w:jc w:val="both"/>
        <w:rPr>
          <w:sz w:val="24"/>
          <w:szCs w:val="24"/>
        </w:rPr>
      </w:pPr>
      <w:r>
        <w:rPr>
          <w:sz w:val="24"/>
          <w:szCs w:val="24"/>
        </w:rPr>
        <w:t>Potaknuti razvoj gospodarskih aktivnosti</w:t>
      </w:r>
    </w:p>
    <w:p w:rsidR="007F1B17" w:rsidRDefault="007F1B17" w:rsidP="006E09CC">
      <w:pPr>
        <w:pStyle w:val="Odlomakpopisa"/>
        <w:numPr>
          <w:ilvl w:val="0"/>
          <w:numId w:val="1"/>
        </w:numPr>
        <w:jc w:val="both"/>
        <w:rPr>
          <w:sz w:val="24"/>
          <w:szCs w:val="24"/>
        </w:rPr>
      </w:pPr>
      <w:r>
        <w:rPr>
          <w:sz w:val="24"/>
          <w:szCs w:val="24"/>
        </w:rPr>
        <w:t>Potaknuti razvoj ruralnog područja</w:t>
      </w:r>
    </w:p>
    <w:p w:rsidR="007F1B17" w:rsidRDefault="007F1B17" w:rsidP="006E09CC">
      <w:pPr>
        <w:pStyle w:val="Odlomakpopisa"/>
        <w:numPr>
          <w:ilvl w:val="0"/>
          <w:numId w:val="1"/>
        </w:numPr>
        <w:jc w:val="both"/>
        <w:rPr>
          <w:sz w:val="24"/>
          <w:szCs w:val="24"/>
        </w:rPr>
      </w:pPr>
      <w:r>
        <w:rPr>
          <w:sz w:val="24"/>
          <w:szCs w:val="24"/>
        </w:rPr>
        <w:t>Ojačati turističku ponudu</w:t>
      </w:r>
    </w:p>
    <w:p w:rsidR="007F1B17" w:rsidRDefault="007F1B17" w:rsidP="006E09CC">
      <w:pPr>
        <w:pStyle w:val="Odlomakpopisa"/>
        <w:numPr>
          <w:ilvl w:val="0"/>
          <w:numId w:val="1"/>
        </w:numPr>
        <w:jc w:val="both"/>
        <w:rPr>
          <w:sz w:val="24"/>
          <w:szCs w:val="24"/>
        </w:rPr>
      </w:pPr>
      <w:r>
        <w:rPr>
          <w:sz w:val="24"/>
          <w:szCs w:val="24"/>
        </w:rPr>
        <w:t>Povećati zaposlenost</w:t>
      </w:r>
    </w:p>
    <w:p w:rsidR="007F1B17" w:rsidRPr="007F1B17" w:rsidRDefault="007F1B17" w:rsidP="007F1B17">
      <w:pPr>
        <w:pStyle w:val="Odlomakpopisa"/>
        <w:numPr>
          <w:ilvl w:val="0"/>
          <w:numId w:val="1"/>
        </w:numPr>
        <w:jc w:val="both"/>
        <w:rPr>
          <w:sz w:val="24"/>
          <w:szCs w:val="24"/>
        </w:rPr>
      </w:pPr>
      <w:r>
        <w:rPr>
          <w:sz w:val="24"/>
          <w:szCs w:val="24"/>
        </w:rPr>
        <w:t>Doprinijeti energetskoj učinkovitosti i zelenoj infrastrukturi</w:t>
      </w:r>
    </w:p>
    <w:p w:rsidR="00BE504F" w:rsidRPr="005F23C7" w:rsidRDefault="00BE504F" w:rsidP="00E70437">
      <w:pPr>
        <w:jc w:val="both"/>
        <w:rPr>
          <w:sz w:val="24"/>
          <w:szCs w:val="24"/>
        </w:rPr>
      </w:pPr>
    </w:p>
    <w:p w:rsidR="001708F7" w:rsidRDefault="001708F7" w:rsidP="0074453C"/>
    <w:p w:rsidR="000D1E96" w:rsidRPr="006C4081" w:rsidRDefault="000D1E96" w:rsidP="0074453C"/>
    <w:sectPr w:rsidR="000D1E96" w:rsidRPr="006C4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2CF"/>
    <w:multiLevelType w:val="hybridMultilevel"/>
    <w:tmpl w:val="CC00BC08"/>
    <w:lvl w:ilvl="0" w:tplc="3F305FE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239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3C"/>
    <w:rsid w:val="00001CF7"/>
    <w:rsid w:val="000816BA"/>
    <w:rsid w:val="000C092F"/>
    <w:rsid w:val="000D1E96"/>
    <w:rsid w:val="001708F7"/>
    <w:rsid w:val="001E19C5"/>
    <w:rsid w:val="00282EBE"/>
    <w:rsid w:val="002B202E"/>
    <w:rsid w:val="002E2C87"/>
    <w:rsid w:val="003653F8"/>
    <w:rsid w:val="0037003A"/>
    <w:rsid w:val="003A4A7B"/>
    <w:rsid w:val="00425108"/>
    <w:rsid w:val="00474C28"/>
    <w:rsid w:val="0048033E"/>
    <w:rsid w:val="00557FA1"/>
    <w:rsid w:val="00586BB0"/>
    <w:rsid w:val="005F23C7"/>
    <w:rsid w:val="006C4081"/>
    <w:rsid w:val="006E09CC"/>
    <w:rsid w:val="00727CE4"/>
    <w:rsid w:val="0074453C"/>
    <w:rsid w:val="007F1B17"/>
    <w:rsid w:val="0083380F"/>
    <w:rsid w:val="0087196C"/>
    <w:rsid w:val="0093112A"/>
    <w:rsid w:val="00995839"/>
    <w:rsid w:val="00AF12C9"/>
    <w:rsid w:val="00AF521A"/>
    <w:rsid w:val="00B1778F"/>
    <w:rsid w:val="00B36A3A"/>
    <w:rsid w:val="00BC7732"/>
    <w:rsid w:val="00BE504F"/>
    <w:rsid w:val="00D16379"/>
    <w:rsid w:val="00D333D2"/>
    <w:rsid w:val="00D4156B"/>
    <w:rsid w:val="00D559AC"/>
    <w:rsid w:val="00D847A6"/>
    <w:rsid w:val="00DA0AD8"/>
    <w:rsid w:val="00DA25F9"/>
    <w:rsid w:val="00E27B98"/>
    <w:rsid w:val="00E300FB"/>
    <w:rsid w:val="00E448EC"/>
    <w:rsid w:val="00E70437"/>
    <w:rsid w:val="00EB2614"/>
    <w:rsid w:val="00EB7538"/>
    <w:rsid w:val="00F049AA"/>
    <w:rsid w:val="00F705C2"/>
    <w:rsid w:val="00FC0B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DAC2"/>
  <w15:chartTrackingRefBased/>
  <w15:docId w15:val="{37493866-E95A-46BB-AC08-66B87477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C092F"/>
    <w:rPr>
      <w:color w:val="0563C1" w:themeColor="hyperlink"/>
      <w:u w:val="single"/>
    </w:rPr>
  </w:style>
  <w:style w:type="character" w:styleId="SlijeenaHiperveza">
    <w:name w:val="FollowedHyperlink"/>
    <w:basedOn w:val="Zadanifontodlomka"/>
    <w:uiPriority w:val="99"/>
    <w:semiHidden/>
    <w:unhideWhenUsed/>
    <w:rsid w:val="002E2C87"/>
    <w:rPr>
      <w:color w:val="954F72" w:themeColor="followedHyperlink"/>
      <w:u w:val="single"/>
    </w:rPr>
  </w:style>
  <w:style w:type="character" w:styleId="Nerijeenospominjanje">
    <w:name w:val="Unresolved Mention"/>
    <w:basedOn w:val="Zadanifontodlomka"/>
    <w:uiPriority w:val="99"/>
    <w:semiHidden/>
    <w:unhideWhenUsed/>
    <w:rsid w:val="002E2C87"/>
    <w:rPr>
      <w:color w:val="605E5C"/>
      <w:shd w:val="clear" w:color="auto" w:fill="E1DFDD"/>
    </w:rPr>
  </w:style>
  <w:style w:type="paragraph" w:styleId="Odlomakpopisa">
    <w:name w:val="List Paragraph"/>
    <w:basedOn w:val="Normal"/>
    <w:uiPriority w:val="34"/>
    <w:qFormat/>
    <w:rsid w:val="006E0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zvoj.gov.hr/o-ministarstvu/djelokrug-1939/nacionalni-programi-417/program-podrske-gospodarskoj-revitalizaciji-slavonije-baranje-i-srijema-2025/5786?big=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345</Words>
  <Characters>1967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asusPLINK3</dc:creator>
  <cp:keywords/>
  <dc:description/>
  <cp:lastModifiedBy>Ured6 Plink</cp:lastModifiedBy>
  <cp:revision>14</cp:revision>
  <dcterms:created xsi:type="dcterms:W3CDTF">2026-01-08T10:04:00Z</dcterms:created>
  <dcterms:modified xsi:type="dcterms:W3CDTF">2026-01-08T12:26:00Z</dcterms:modified>
</cp:coreProperties>
</file>